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jc w:val="right"/>
      </w:pPr>
      <w:r>
        <w:rPr/>
        <w:t>Приложение 1</w:t>
      </w:r>
    </w:p>
    <w:p>
      <w:pPr>
        <w:pStyle w:val="style28"/>
        <w:jc w:val="right"/>
      </w:pPr>
      <w:r>
        <w:rPr/>
        <w:t>к Приказу по Центру от 30.12.2013 г.</w:t>
      </w:r>
      <w:bookmarkStart w:id="0" w:name="_GoBack"/>
      <w:bookmarkEnd w:id="0"/>
      <w:r>
        <w:rPr/>
        <w:t xml:space="preserve"> № № 01-1/431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8"/>
        <w:jc w:val="center"/>
      </w:pPr>
      <w:r>
        <w:rPr>
          <w:b/>
          <w:sz w:val="28"/>
          <w:szCs w:val="28"/>
        </w:rPr>
        <w:t>ПОЛОЖЕНИЕ</w:t>
      </w:r>
    </w:p>
    <w:p>
      <w:pPr>
        <w:pStyle w:val="style28"/>
        <w:jc w:val="center"/>
      </w:pPr>
      <w:r>
        <w:rPr>
          <w:b/>
          <w:sz w:val="28"/>
          <w:szCs w:val="28"/>
        </w:rPr>
        <w:t>устанавливающее «Порядок доступа педагогических работников МАУДО «ЦВР «Подросток «к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Настоящий локальный нормативный акт устанавливает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разработан на основании п. 7 статьи 47 Федерального закона от 29 декабря 2012 г. N 273-ФЗ «Об образовании в Российской Федерации».</w:t>
      </w:r>
    </w:p>
    <w:p>
      <w:pPr>
        <w:pStyle w:val="style0"/>
        <w:numPr>
          <w:ilvl w:val="0"/>
          <w:numId w:val="1"/>
        </w:numPr>
        <w:jc w:val="center"/>
      </w:pPr>
      <w:r>
        <w:rPr>
          <w:b/>
          <w:color w:val="00000A"/>
          <w:sz w:val="28"/>
          <w:szCs w:val="28"/>
        </w:rPr>
        <w:t>I. Общие положения</w:t>
      </w:r>
    </w:p>
    <w:p>
      <w:pPr>
        <w:pStyle w:val="style0"/>
        <w:jc w:val="both"/>
      </w:pPr>
      <w:r>
        <w:rPr>
          <w:sz w:val="28"/>
          <w:szCs w:val="28"/>
        </w:rPr>
        <w:t>1.1 Настоящий локальный нормативный акт регламентирует порядок доступа педагогических работников МАУДО «Центр внешкольной работы «Подросток» (далее – Учреждение):</w:t>
      </w:r>
    </w:p>
    <w:p>
      <w:pPr>
        <w:pStyle w:val="style0"/>
        <w:jc w:val="both"/>
      </w:pPr>
      <w:r>
        <w:rPr>
          <w:sz w:val="28"/>
          <w:szCs w:val="28"/>
        </w:rPr>
        <w:t xml:space="preserve">- к информационно-телекоммуникационным сетям, </w:t>
      </w:r>
    </w:p>
    <w:p>
      <w:pPr>
        <w:pStyle w:val="style0"/>
        <w:jc w:val="both"/>
      </w:pPr>
      <w:r>
        <w:rPr>
          <w:sz w:val="28"/>
          <w:szCs w:val="28"/>
        </w:rPr>
        <w:t>- к учебным и методическим материалам,</w:t>
      </w:r>
    </w:p>
    <w:p>
      <w:pPr>
        <w:pStyle w:val="style0"/>
        <w:tabs>
          <w:tab w:leader="none" w:pos="180" w:val="left"/>
          <w:tab w:leader="none" w:pos="540" w:val="left"/>
        </w:tabs>
        <w:jc w:val="both"/>
      </w:pPr>
      <w:r>
        <w:rPr>
          <w:sz w:val="28"/>
          <w:szCs w:val="28"/>
        </w:rPr>
        <w:t>- к материально-техническим средствам обеспечения образовательной деятельности.</w:t>
      </w:r>
    </w:p>
    <w:p>
      <w:pPr>
        <w:pStyle w:val="style26"/>
        <w:jc w:val="both"/>
      </w:pPr>
      <w:r>
        <w:rPr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>
      <w:pPr>
        <w:pStyle w:val="style26"/>
        <w:jc w:val="both"/>
      </w:pPr>
      <w:r>
        <w:rPr>
          <w:sz w:val="28"/>
          <w:szCs w:val="28"/>
        </w:rPr>
        <w:t>1.3. Настоящее Положение доводится директором Учреждения до сведения педагогических работников при приеме их на работу.</w:t>
      </w:r>
    </w:p>
    <w:p>
      <w:pPr>
        <w:pStyle w:val="style0"/>
        <w:spacing w:line="276" w:lineRule="auto"/>
        <w:jc w:val="both"/>
      </w:pPr>
      <w:r>
        <w:rPr>
          <w:b/>
          <w:sz w:val="28"/>
          <w:szCs w:val="28"/>
        </w:rPr>
        <w:t>2. Порядок доступа педагогических работников</w:t>
      </w:r>
    </w:p>
    <w:p>
      <w:pPr>
        <w:pStyle w:val="style0"/>
        <w:spacing w:line="276" w:lineRule="auto"/>
        <w:jc w:val="both"/>
      </w:pPr>
      <w:r>
        <w:rPr>
          <w:b/>
          <w:sz w:val="28"/>
          <w:szCs w:val="28"/>
        </w:rPr>
        <w:t>2.1. Доступ к информационно-телекоммуникационной сети Интернет:</w:t>
      </w:r>
    </w:p>
    <w:p>
      <w:pPr>
        <w:pStyle w:val="style26"/>
        <w:jc w:val="both"/>
      </w:pPr>
      <w:r>
        <w:rPr>
          <w:sz w:val="28"/>
          <w:szCs w:val="28"/>
        </w:rPr>
        <w:t>2.1.1.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с разрешения директора Учреждения.</w:t>
      </w:r>
    </w:p>
    <w:p>
      <w:pPr>
        <w:pStyle w:val="style26"/>
        <w:jc w:val="both"/>
      </w:pPr>
      <w:r>
        <w:rPr>
          <w:sz w:val="28"/>
          <w:szCs w:val="28"/>
        </w:rPr>
        <w:t>2.1.2. Доступ педагогических работников к локальной сети (при наличии)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>
      <w:pPr>
        <w:pStyle w:val="style27"/>
        <w:spacing w:line="312" w:lineRule="atLeast"/>
        <w:jc w:val="both"/>
      </w:pPr>
      <w:r>
        <w:rPr/>
      </w:r>
    </w:p>
    <w:p>
      <w:pPr>
        <w:pStyle w:val="style27"/>
        <w:spacing w:line="312" w:lineRule="atLeast"/>
        <w:jc w:val="both"/>
      </w:pPr>
      <w:r>
        <w:rPr>
          <w:b/>
          <w:sz w:val="28"/>
          <w:szCs w:val="28"/>
        </w:rPr>
        <w:t>2.2. Доступ к базам данных  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2.2.1. Педагогическим работникам обеспечивается доступ к следующим электронным базам данных: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- профессиональные базы данных;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- информационные справочные системы;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- поисковые системы.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2.2.2.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>
      <w:pPr>
        <w:pStyle w:val="style0"/>
        <w:spacing w:line="276" w:lineRule="auto"/>
        <w:ind w:firstLine="720" w:left="0" w:right="0"/>
        <w:jc w:val="both"/>
      </w:pPr>
      <w:r>
        <w:rPr>
          <w:sz w:val="28"/>
          <w:szCs w:val="28"/>
        </w:rPr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возможна.</w:t>
      </w:r>
    </w:p>
    <w:p>
      <w:pPr>
        <w:pStyle w:val="style0"/>
        <w:spacing w:line="276" w:lineRule="auto"/>
        <w:jc w:val="both"/>
      </w:pPr>
      <w:r>
        <w:rPr>
          <w:b/>
          <w:sz w:val="28"/>
          <w:szCs w:val="28"/>
        </w:rPr>
        <w:t>2.3. Доступ к учебным и методическим материалам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2.3.1. Учебные и методические материалы, размещаемые на официальном сайте Учреждения, находятся в открытом доступе.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2.3.2. Педагогическим работникам по их запросам могут выдаваться во временное пользование учебные и методические материалы.</w:t>
      </w:r>
    </w:p>
    <w:p>
      <w:pPr>
        <w:pStyle w:val="style26"/>
        <w:spacing w:line="312" w:lineRule="atLeast"/>
        <w:ind w:firstLine="708" w:left="0" w:right="0"/>
        <w:jc w:val="both"/>
      </w:pPr>
      <w:r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осуществляется специальным работником. </w:t>
      </w:r>
    </w:p>
    <w:p>
      <w:pPr>
        <w:pStyle w:val="style26"/>
        <w:spacing w:line="312" w:lineRule="atLeast"/>
        <w:ind w:firstLine="708" w:left="0" w:right="0"/>
        <w:jc w:val="both"/>
      </w:pPr>
      <w:r>
        <w:rPr>
          <w:sz w:val="28"/>
          <w:szCs w:val="28"/>
        </w:rPr>
        <w:t>Работник должен оказать содействие педагогическому работнику в поиске испрашиваемого материала.</w:t>
        <w:tab/>
      </w:r>
    </w:p>
    <w:p>
      <w:pPr>
        <w:pStyle w:val="style26"/>
        <w:spacing w:line="312" w:lineRule="atLeast"/>
        <w:ind w:firstLine="708" w:left="0" w:right="0"/>
        <w:jc w:val="both"/>
      </w:pPr>
      <w:r>
        <w:rPr>
          <w:sz w:val="28"/>
          <w:szCs w:val="28"/>
        </w:rPr>
        <w:t xml:space="preserve">Срок, на который выдаются учебные и методические материалы, определяется работником. </w:t>
      </w:r>
    </w:p>
    <w:p>
      <w:pPr>
        <w:pStyle w:val="style26"/>
        <w:spacing w:line="312" w:lineRule="atLeast"/>
        <w:ind w:firstLine="708" w:left="0" w:right="0"/>
        <w:jc w:val="both"/>
      </w:pPr>
      <w:r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>
      <w:pPr>
        <w:pStyle w:val="style26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2.4. Доступ к материально-техническим средствам обеспечения образовательной деятельности</w:t>
      </w:r>
    </w:p>
    <w:p>
      <w:pPr>
        <w:pStyle w:val="style27"/>
        <w:jc w:val="both"/>
      </w:pPr>
      <w:r>
        <w:rPr>
          <w:sz w:val="28"/>
          <w:szCs w:val="28"/>
        </w:rPr>
        <w:t>2.4.1.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>
      <w:pPr>
        <w:pStyle w:val="style27"/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без ограничения к учебным кабинетам, спортивному и актовому залам и иным помещениям, и местам проведения занятий во время, определенное в расписании занятий;</w:t>
      </w:r>
    </w:p>
    <w:p>
      <w:pPr>
        <w:pStyle w:val="style27"/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 учебным кабинетам, спортивному и актовому залам и иным помещениям,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 xml:space="preserve">2.4.2. 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по </w:t>
      </w:r>
      <w:r>
        <w:rPr>
          <w:b/>
          <w:sz w:val="28"/>
          <w:szCs w:val="28"/>
        </w:rPr>
        <w:t xml:space="preserve">заявке, </w:t>
      </w:r>
      <w:r>
        <w:rPr>
          <w:sz w:val="28"/>
          <w:szCs w:val="28"/>
        </w:rPr>
        <w:t>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2.4.3.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>
      <w:pPr>
        <w:pStyle w:val="style27"/>
        <w:spacing w:line="312" w:lineRule="atLeast"/>
        <w:jc w:val="both"/>
      </w:pPr>
      <w:r>
        <w:rPr>
          <w:sz w:val="28"/>
          <w:szCs w:val="28"/>
        </w:rPr>
        <w:t>2.4.4. Для распечатывания учебных и методических материалов педагогические работники имеют право пользоваться принтером.</w:t>
      </w:r>
    </w:p>
    <w:p>
      <w:pPr>
        <w:pStyle w:val="style0"/>
        <w:spacing w:after="100" w:before="100" w:line="312" w:lineRule="atLeast"/>
        <w:contextualSpacing w:val="false"/>
        <w:jc w:val="both"/>
      </w:pPr>
      <w:r>
        <w:rPr>
          <w:sz w:val="28"/>
          <w:szCs w:val="28"/>
        </w:rPr>
        <w:t xml:space="preserve">2.5.5. Накопители информации (CD-диски, флэшка-накопители,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>
      <w:pPr>
        <w:pStyle w:val="style0"/>
        <w:spacing w:after="100" w:before="100" w:line="312" w:lineRule="atLeast"/>
        <w:contextualSpacing w:val="false"/>
        <w:jc w:val="both"/>
      </w:pPr>
      <w:r>
        <w:rPr/>
      </w:r>
    </w:p>
    <w:p>
      <w:pPr>
        <w:pStyle w:val="style0"/>
        <w:spacing w:after="100" w:before="100" w:line="312" w:lineRule="atLeast"/>
        <w:contextualSpacing w:val="false"/>
        <w:jc w:val="both"/>
      </w:pPr>
      <w:r>
        <w:rPr/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28"/>
      </w:tblGrid>
      <w:tr>
        <w:trPr>
          <w:cantSplit w:val="false"/>
        </w:trPr>
        <w:tc>
          <w:tcPr>
            <w:tcW w:type="dxa" w:w="482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Рассмотрено 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ротокол №  2 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8"/>
                <w:szCs w:val="28"/>
              </w:rPr>
              <w:t>« 19 » декабря 2013  г.</w:t>
            </w:r>
          </w:p>
        </w:tc>
      </w:tr>
    </w:tbl>
    <w:p>
      <w:pPr>
        <w:pStyle w:val="style26"/>
        <w:spacing w:after="100" w:before="0" w:line="312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Calibri" w:hAnsi="Times New Roman"/>
      <w:color w:val="000000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"/>
    <w:pPr>
      <w:spacing w:after="100" w:before="100"/>
      <w:contextualSpacing w:val="false"/>
    </w:pPr>
    <w:rPr>
      <w:b/>
      <w:b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b w:val="false"/>
      <w:bCs w:val="false"/>
      <w:strike w:val="false"/>
      <w:dstrike w:val="false"/>
      <w:color w:val="087EB0"/>
      <w:u w:val="single"/>
      <w:effect w:val="none"/>
      <w:lang w:bidi="zxx-" w:eastAsia="zxx-" w:val="zxx-"/>
    </w:rPr>
  </w:style>
  <w:style w:styleId="style17" w:type="character">
    <w:name w:val="page number"/>
    <w:next w:val="style17"/>
    <w:rPr>
      <w:rFonts w:cs="Times New Roman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  <w:lang w:eastAsia="ko-KR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Lohit Hindi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Hindi"/>
    </w:rPr>
  </w:style>
  <w:style w:styleId="style26" w:type="paragraph">
    <w:name w:val="Normal (Web)"/>
    <w:basedOn w:val="style0"/>
    <w:next w:val="style26"/>
    <w:pPr>
      <w:spacing w:after="100" w:before="0"/>
      <w:contextualSpacing w:val="false"/>
    </w:pPr>
    <w:rPr/>
  </w:style>
  <w:style w:styleId="style27" w:type="paragraph">
    <w:name w:val="a0"/>
    <w:basedOn w:val="style0"/>
    <w:next w:val="style27"/>
    <w:pPr>
      <w:spacing w:after="100" w:before="0"/>
      <w:contextualSpacing w:val="false"/>
    </w:pPr>
    <w:rPr/>
  </w:style>
  <w:style w:styleId="style28" w:type="paragraph">
    <w:name w:val="......... 3"/>
    <w:basedOn w:val="style0"/>
    <w:next w:val="style28"/>
    <w:pPr/>
    <w:rPr>
      <w:rFonts w:eastAsia="Calibri"/>
      <w:lang w:eastAsia="ru-RU"/>
    </w:rPr>
  </w:style>
  <w:style w:styleId="style29" w:type="paragraph">
    <w:name w:val="......."/>
    <w:basedOn w:val="style0"/>
    <w:next w:val="style29"/>
    <w:pPr/>
    <w:rPr>
      <w:rFonts w:eastAsia="Calibri"/>
      <w:lang w:eastAsia="ru-RU"/>
    </w:rPr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  <w:style w:styleId="style31" w:type="paragraph">
    <w:name w:val="Содержимое врезки"/>
    <w:basedOn w:val="style22"/>
    <w:next w:val="style31"/>
    <w:pPr/>
    <w:rPr/>
  </w:style>
  <w:style w:styleId="style32" w:type="paragraph">
    <w:name w:val="Основной текст1"/>
    <w:basedOn w:val="style0"/>
    <w:next w:val="style32"/>
    <w:pPr>
      <w:widowControl w:val="false"/>
      <w:shd w:fill="FFFFFF" w:val="clear"/>
      <w:spacing w:after="0" w:before="300" w:line="240" w:lineRule="exact"/>
      <w:contextualSpacing w:val="false"/>
      <w:jc w:val="both"/>
    </w:pPr>
    <w:rPr>
      <w:rFonts w:ascii="Arial" w:cs="Arial" w:eastAsia="Arial" w:hAnsi="Arial"/>
      <w:spacing w:val="-10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2013-12-26T04:32:00.00Z</dcterms:created>
  <dc:creator>Loner-XP</dc:creator>
  <cp:lastModifiedBy>User</cp:lastModifiedBy>
  <cp:lastPrinted>2014-01-28T08:15:00.00Z</cp:lastPrinted>
  <dcterms:modified xsi:type="dcterms:W3CDTF">2014-01-28T08:15:00.00Z</dcterms:modified>
  <cp:revision>16</cp:revision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</cp:coreProperties>
</file>